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51" w:rsidRPr="00E50F51" w:rsidRDefault="00E50F51" w:rsidP="00E50F51">
      <w:pPr>
        <w:ind w:firstLineChars="850" w:firstLine="3060"/>
        <w:rPr>
          <w:rStyle w:val="a3"/>
          <w:rFonts w:ascii="微软雅黑" w:eastAsia="微软雅黑" w:hAnsi="微软雅黑"/>
          <w:color w:val="4E4E4E"/>
          <w:sz w:val="36"/>
          <w:szCs w:val="36"/>
        </w:rPr>
      </w:pPr>
      <w:r w:rsidRPr="00E50F51">
        <w:rPr>
          <w:rStyle w:val="a3"/>
          <w:rFonts w:ascii="微软雅黑" w:eastAsia="微软雅黑" w:hAnsi="微软雅黑" w:hint="eastAsia"/>
          <w:color w:val="4E4E4E"/>
          <w:sz w:val="36"/>
          <w:szCs w:val="36"/>
        </w:rPr>
        <w:t>招聘简章</w:t>
      </w:r>
    </w:p>
    <w:p w:rsidR="00404942" w:rsidRPr="00404942" w:rsidRDefault="00E50F51" w:rsidP="00404942">
      <w:pPr>
        <w:rPr>
          <w:rFonts w:ascii="微软雅黑" w:eastAsia="微软雅黑" w:hAnsi="微软雅黑" w:cs="宋体"/>
          <w:color w:val="4E4E4E"/>
          <w:kern w:val="0"/>
          <w:sz w:val="24"/>
        </w:rPr>
      </w:pPr>
      <w:r w:rsidRPr="00E50F51">
        <w:rPr>
          <w:rStyle w:val="a3"/>
          <w:rFonts w:ascii="微软雅黑" w:eastAsia="微软雅黑" w:hAnsi="微软雅黑" w:hint="eastAsia"/>
          <w:b w:val="0"/>
          <w:color w:val="4E4E4E"/>
          <w:sz w:val="24"/>
        </w:rPr>
        <w:t>浙江司太立制药股份有限公司</w:t>
      </w:r>
      <w:r w:rsidRPr="00E50F51">
        <w:rPr>
          <w:rFonts w:ascii="微软雅黑" w:eastAsia="微软雅黑" w:hAnsi="微软雅黑" w:hint="eastAsia"/>
          <w:color w:val="4E4E4E"/>
          <w:sz w:val="24"/>
        </w:rPr>
        <w:t>成立于1997年，于2016年3月9日正式主板上市，</w:t>
      </w:r>
      <w:r w:rsidR="00404942"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是从事研发、生产、销售X-CT非离子</w:t>
      </w:r>
      <w:proofErr w:type="gramStart"/>
      <w:r w:rsidR="00404942"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型碘造影剂系列和喹</w:t>
      </w:r>
      <w:proofErr w:type="gramEnd"/>
      <w:r w:rsidR="00404942"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诺酮类系列原料药及中间体的高新技术企业。</w:t>
      </w:r>
    </w:p>
    <w:p w:rsidR="00404942" w:rsidRPr="00404942" w:rsidRDefault="00404942" w:rsidP="00404942">
      <w:pPr>
        <w:widowControl/>
        <w:jc w:val="left"/>
        <w:rPr>
          <w:rFonts w:ascii="微软雅黑" w:eastAsia="微软雅黑" w:hAnsi="微软雅黑" w:cs="宋体"/>
          <w:color w:val="4E4E4E"/>
          <w:kern w:val="0"/>
          <w:sz w:val="24"/>
        </w:rPr>
      </w:pPr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        公司以“聚合生命能量，呵护人类健康”为经营理念，不断丰富X射线造影剂系列产品，已具备产业化能力的产品有碘海醇原料药、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碘帕醇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原料药、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碘佛醇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原料药、碘普罗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胺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原料药、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碘克沙醇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原料药等。公司产品质量稳定，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碘海醇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原料药已获得欧盟CEP证书和日本登录证。在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喹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诺酮类系列原料药方面，公司在左氧氟沙星系列产品杂质分离及合成领域处于国内领先水平。</w:t>
      </w:r>
    </w:p>
    <w:p w:rsidR="00404942" w:rsidRPr="00404942" w:rsidRDefault="00404942" w:rsidP="00404942">
      <w:pPr>
        <w:widowControl/>
        <w:jc w:val="left"/>
        <w:rPr>
          <w:rFonts w:ascii="微软雅黑" w:eastAsia="微软雅黑" w:hAnsi="微软雅黑" w:cs="宋体"/>
          <w:color w:val="4E4E4E"/>
          <w:kern w:val="0"/>
          <w:sz w:val="24"/>
        </w:rPr>
      </w:pPr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 xml:space="preserve">　　公司长期着眼于X射线造影剂的可持续发展战略，高度重视自主研发能力，并取得了丰硕的成果。公司建有浙江省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司太立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诊断药物研究院、浙江省企业技术中心以及省级高新技术研究开发中心。公司承担的“非离子型X-CT造影剂原料药——碘海醇”项目、“非离子型X-CT造影剂原料药——碘佛醇”项目和“第四代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喹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诺酮类抗菌药物关键中间体帕珠沙星产业化”项目列入国家火炬计划。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碘海醇和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帕</w:t>
      </w:r>
      <w:proofErr w:type="gramStart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珠沙星被</w:t>
      </w:r>
      <w:proofErr w:type="gramEnd"/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>认定为“浙江省高新技术产品”。“高纯度非离子型X-CT造影剂——碘海醇的合成工艺开发及产业化”项目被评为“浙江省科学技术二等奖”和“台州市科学技术进步一等奖”。</w:t>
      </w:r>
    </w:p>
    <w:p w:rsidR="00404942" w:rsidRPr="00404942" w:rsidRDefault="00404942" w:rsidP="00404942">
      <w:pPr>
        <w:widowControl/>
        <w:jc w:val="left"/>
        <w:rPr>
          <w:rFonts w:ascii="微软雅黑" w:eastAsia="微软雅黑" w:hAnsi="微软雅黑" w:cs="宋体"/>
          <w:color w:val="4E4E4E"/>
          <w:kern w:val="0"/>
          <w:sz w:val="24"/>
        </w:rPr>
      </w:pPr>
      <w:r w:rsidRPr="00404942">
        <w:rPr>
          <w:rFonts w:ascii="微软雅黑" w:eastAsia="微软雅黑" w:hAnsi="微软雅黑" w:cs="宋体" w:hint="eastAsia"/>
          <w:color w:val="4E4E4E"/>
          <w:kern w:val="0"/>
          <w:sz w:val="24"/>
        </w:rPr>
        <w:t xml:space="preserve">　　公司致力于研制具有自主知识产权的新药，加快向制剂领域发展。公司将力争成为中国乃至全球的知名医药企业，铸就卓越的“司太立”医药品牌。</w:t>
      </w:r>
    </w:p>
    <w:p w:rsidR="00E50F51" w:rsidRDefault="00E50F51" w:rsidP="00E50F5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4E4E4E"/>
          <w:kern w:val="0"/>
          <w:sz w:val="24"/>
        </w:rPr>
      </w:pPr>
    </w:p>
    <w:p w:rsidR="00404942" w:rsidRDefault="00404942" w:rsidP="00E50F5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4E4E4E"/>
          <w:kern w:val="0"/>
          <w:sz w:val="24"/>
        </w:rPr>
      </w:pPr>
    </w:p>
    <w:p w:rsidR="00404942" w:rsidRPr="00404942" w:rsidRDefault="00404942" w:rsidP="00E50F5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4E4E4E"/>
          <w:kern w:val="0"/>
          <w:sz w:val="24"/>
        </w:rPr>
      </w:pPr>
    </w:p>
    <w:tbl>
      <w:tblPr>
        <w:tblpPr w:leftFromText="180" w:rightFromText="180" w:vertAnchor="text" w:horzAnchor="margin" w:tblpXSpec="center" w:tblpY="909"/>
        <w:tblW w:w="10172" w:type="dxa"/>
        <w:tblLook w:val="04A0"/>
      </w:tblPr>
      <w:tblGrid>
        <w:gridCol w:w="724"/>
        <w:gridCol w:w="1134"/>
        <w:gridCol w:w="1418"/>
        <w:gridCol w:w="2268"/>
        <w:gridCol w:w="425"/>
        <w:gridCol w:w="425"/>
        <w:gridCol w:w="709"/>
        <w:gridCol w:w="850"/>
        <w:gridCol w:w="2219"/>
      </w:tblGrid>
      <w:tr w:rsidR="0001484C" w:rsidRPr="00E50F51" w:rsidTr="0001484C">
        <w:trPr>
          <w:trHeight w:val="555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类别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培养方向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1484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薪资福利待遇</w:t>
            </w:r>
          </w:p>
        </w:tc>
      </w:tr>
      <w:tr w:rsidR="0001484C" w:rsidRPr="00E50F51" w:rsidTr="0001484C">
        <w:trPr>
          <w:trHeight w:val="52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1484C" w:rsidRPr="00E50F51" w:rsidTr="0001484C">
        <w:trPr>
          <w:trHeight w:val="6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有机合成研究员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化学、应用化学、 有机化学、制药工程、药物分析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浙江、上海、江西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Default="0001484C" w:rsidP="000C16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工资3500-</w:t>
            </w:r>
            <w:r w:rsidR="008D1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12000</w:t>
            </w: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元/月、</w:t>
            </w:r>
          </w:p>
          <w:p w:rsidR="0001484C" w:rsidRDefault="0001484C" w:rsidP="000C16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提供食宿、培训等；</w:t>
            </w:r>
          </w:p>
          <w:p w:rsidR="0001484C" w:rsidRDefault="0001484C" w:rsidP="000C16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为员工缴纳五险</w:t>
            </w:r>
            <w:proofErr w:type="gramStart"/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金，</w:t>
            </w:r>
          </w:p>
          <w:p w:rsidR="0001484C" w:rsidRDefault="0001484C" w:rsidP="000C16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上下班班车接送；</w:t>
            </w:r>
          </w:p>
          <w:p w:rsidR="0001484C" w:rsidRPr="00E50F51" w:rsidRDefault="0001484C" w:rsidP="000C16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每年一次免费健康体检。</w:t>
            </w:r>
          </w:p>
        </w:tc>
      </w:tr>
      <w:tr w:rsidR="0001484C" w:rsidRPr="00E50F51" w:rsidTr="0001484C">
        <w:trPr>
          <w:trHeight w:val="4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药物分析、分析化学、制药工程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浙江、上海、江西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484C" w:rsidRPr="00E50F51" w:rsidTr="0001484C">
        <w:trPr>
          <w:trHeight w:val="49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药物制剂研究员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药学、药剂学、药物制剂、制药工程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484C" w:rsidRPr="00E50F51" w:rsidTr="0001484C">
        <w:trPr>
          <w:trHeight w:val="82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原料药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生产管理、QA、工艺员、实验员、化验员、EHS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化学、应用化学、 有机化学、制药工程、药物分析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浙江、上海、江西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484C" w:rsidRPr="00E50F51" w:rsidTr="0001484C">
        <w:trPr>
          <w:trHeight w:val="9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生产管理、QA、工艺员、实验员、化验员、EHS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药学、药剂学、药物制剂、制药工程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484C" w:rsidRPr="00E50F51" w:rsidTr="0001484C">
        <w:trPr>
          <w:trHeight w:val="7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工程设备类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电器工程自动化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技术人员储备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电子信息工程、电器工程及自动化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680314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浙江、江西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484C" w:rsidRPr="00E50F51" w:rsidTr="0001484C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设备、电器安装、维修管理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化工机械、机械自动化、过程装备及控制工程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680314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浙江、江西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484C" w:rsidRPr="00E50F51" w:rsidTr="0001484C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管理储备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3177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企业管理、行政、财务</w:t>
            </w:r>
            <w:r w:rsidR="00CD124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、采购、人力资源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药学或</w:t>
            </w:r>
            <w:r w:rsidR="003177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物流、会计等</w:t>
            </w: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管理类专业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浙江、上海、江西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124E" w:rsidRPr="00E50F51" w:rsidTr="0001484C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4E" w:rsidRPr="00E50F51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4E" w:rsidRPr="00E50F51" w:rsidRDefault="00CD124E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管理储备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4E" w:rsidRPr="00E50F51" w:rsidRDefault="00CD124E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证券、法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4E" w:rsidRPr="00E50F51" w:rsidRDefault="00CD124E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法律、金融等相关专业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24E" w:rsidRPr="00E50F51" w:rsidRDefault="00CD124E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4E" w:rsidRPr="00E50F51" w:rsidRDefault="00CD124E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24E" w:rsidRPr="00E50F51" w:rsidRDefault="00CD124E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4E" w:rsidRPr="00E50F51" w:rsidRDefault="00CD124E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4E" w:rsidRPr="00E50F51" w:rsidRDefault="00CD124E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17797" w:rsidRPr="00E50F51" w:rsidTr="0001484C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97" w:rsidRPr="00E50F51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97" w:rsidRPr="00E50F51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管理储备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97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97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797" w:rsidRPr="00E50F51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97" w:rsidRPr="00E50F51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97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97" w:rsidRPr="00E50F51" w:rsidRDefault="00317797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97" w:rsidRPr="00E50F51" w:rsidRDefault="00317797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484C" w:rsidRPr="00E50F51" w:rsidTr="0001484C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销售类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销售员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内贸、外贸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医药、化工、分析等专业、英语6级以上、懂日语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84C" w:rsidRPr="00E50F51" w:rsidRDefault="0001484C" w:rsidP="000C16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50F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C" w:rsidRPr="00E50F51" w:rsidRDefault="0001484C" w:rsidP="000C1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50F51" w:rsidRDefault="00CD124E" w:rsidP="00E50F5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4E4E4E"/>
          <w:kern w:val="0"/>
          <w:sz w:val="24"/>
        </w:rPr>
      </w:pPr>
      <w:r>
        <w:rPr>
          <w:rFonts w:ascii="微软雅黑" w:eastAsia="微软雅黑" w:hAnsi="微软雅黑" w:cs="宋体"/>
          <w:noProof/>
          <w:color w:val="4E4E4E"/>
          <w:kern w:val="0"/>
          <w:sz w:val="24"/>
        </w:rPr>
        <w:lastRenderedPageBreak/>
        <w:drawing>
          <wp:inline distT="0" distB="0" distL="0" distR="0">
            <wp:extent cx="3276600" cy="3276600"/>
            <wp:effectExtent l="19050" t="0" r="0" b="0"/>
            <wp:docPr id="3" name="图片 2" descr="C:\DOCUME~1\ADMINI~1\LOCALS~1\Temp\WeChat Files\17277962757012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eChat Files\172779627570120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51" w:rsidRPr="00E50F51" w:rsidRDefault="00E50F51" w:rsidP="00E50F51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/>
          <w:color w:val="4E4E4E"/>
          <w:kern w:val="0"/>
          <w:sz w:val="24"/>
        </w:rPr>
      </w:pPr>
    </w:p>
    <w:p w:rsidR="003E7BB8" w:rsidRDefault="003E7BB8">
      <w:pPr>
        <w:rPr>
          <w:sz w:val="24"/>
        </w:rPr>
      </w:pPr>
    </w:p>
    <w:p w:rsidR="00E50F51" w:rsidRDefault="00E50F51">
      <w:pPr>
        <w:rPr>
          <w:sz w:val="24"/>
        </w:rPr>
      </w:pPr>
    </w:p>
    <w:p w:rsidR="00E50F51" w:rsidRDefault="003E7BB8">
      <w:pPr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0576-87718636    13819660261  </w:t>
      </w:r>
      <w:r>
        <w:rPr>
          <w:rFonts w:hint="eastAsia"/>
          <w:sz w:val="24"/>
        </w:rPr>
        <w:t>鄢春丽</w:t>
      </w:r>
    </w:p>
    <w:p w:rsidR="003E7BB8" w:rsidRDefault="003E7BB8">
      <w:pPr>
        <w:rPr>
          <w:sz w:val="24"/>
        </w:rPr>
      </w:pPr>
      <w:r>
        <w:rPr>
          <w:rFonts w:hint="eastAsia"/>
          <w:sz w:val="24"/>
        </w:rPr>
        <w:t>联系地址：浙江仙居现代工业集聚区司太立大道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 w:rsidR="003E7BB8" w:rsidRDefault="003E7BB8">
      <w:pPr>
        <w:rPr>
          <w:sz w:val="24"/>
        </w:rPr>
      </w:pPr>
      <w:r>
        <w:rPr>
          <w:rFonts w:hint="eastAsia"/>
          <w:sz w:val="24"/>
        </w:rPr>
        <w:t>公司网址：</w:t>
      </w:r>
      <w:hyperlink r:id="rId7" w:history="1">
        <w:r w:rsidR="00404942" w:rsidRPr="00584702">
          <w:rPr>
            <w:rStyle w:val="a6"/>
            <w:sz w:val="24"/>
          </w:rPr>
          <w:t>http://www.starrypharm.com/</w:t>
        </w:r>
      </w:hyperlink>
    </w:p>
    <w:p w:rsidR="00404942" w:rsidRPr="00CD124E" w:rsidRDefault="00404942">
      <w:pPr>
        <w:rPr>
          <w:sz w:val="24"/>
        </w:rPr>
      </w:pPr>
      <w:r>
        <w:rPr>
          <w:rFonts w:hint="eastAsia"/>
          <w:sz w:val="24"/>
        </w:rPr>
        <w:t>HR</w:t>
      </w:r>
      <w:r>
        <w:rPr>
          <w:rFonts w:hint="eastAsia"/>
          <w:sz w:val="24"/>
        </w:rPr>
        <w:t>邮箱：</w:t>
      </w:r>
      <w:hyperlink r:id="rId8" w:history="1">
        <w:r w:rsidRPr="00584702">
          <w:rPr>
            <w:rStyle w:val="a6"/>
            <w:rFonts w:hint="eastAsia"/>
            <w:sz w:val="24"/>
          </w:rPr>
          <w:t>yanchunli@starrypharma.com</w:t>
        </w:r>
      </w:hyperlink>
    </w:p>
    <w:sectPr w:rsidR="00404942" w:rsidRPr="00CD124E" w:rsidSect="000C1682">
      <w:pgSz w:w="11906" w:h="16838"/>
      <w:pgMar w:top="1418" w:right="1985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C2F" w:rsidRDefault="00891C2F" w:rsidP="00891C2F">
      <w:r>
        <w:separator/>
      </w:r>
    </w:p>
  </w:endnote>
  <w:endnote w:type="continuationSeparator" w:id="1">
    <w:p w:rsidR="00891C2F" w:rsidRDefault="00891C2F" w:rsidP="00891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C2F" w:rsidRDefault="00891C2F" w:rsidP="00891C2F">
      <w:r>
        <w:separator/>
      </w:r>
    </w:p>
  </w:footnote>
  <w:footnote w:type="continuationSeparator" w:id="1">
    <w:p w:rsidR="00891C2F" w:rsidRDefault="00891C2F" w:rsidP="00891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51"/>
    <w:rsid w:val="0001484C"/>
    <w:rsid w:val="00084621"/>
    <w:rsid w:val="000C1682"/>
    <w:rsid w:val="000F30F9"/>
    <w:rsid w:val="00263DE5"/>
    <w:rsid w:val="00317797"/>
    <w:rsid w:val="003D3775"/>
    <w:rsid w:val="003E7BB8"/>
    <w:rsid w:val="004035BB"/>
    <w:rsid w:val="00404942"/>
    <w:rsid w:val="00410C42"/>
    <w:rsid w:val="00411760"/>
    <w:rsid w:val="00516D0E"/>
    <w:rsid w:val="00680314"/>
    <w:rsid w:val="00732FC0"/>
    <w:rsid w:val="00891BCD"/>
    <w:rsid w:val="00891C2F"/>
    <w:rsid w:val="008C43B5"/>
    <w:rsid w:val="008D1096"/>
    <w:rsid w:val="0095325F"/>
    <w:rsid w:val="00A8056B"/>
    <w:rsid w:val="00C240A7"/>
    <w:rsid w:val="00C56DD8"/>
    <w:rsid w:val="00CA1F01"/>
    <w:rsid w:val="00CD124E"/>
    <w:rsid w:val="00D22C0B"/>
    <w:rsid w:val="00DB2B02"/>
    <w:rsid w:val="00E50F51"/>
    <w:rsid w:val="00F9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0F5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91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1C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1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1C2F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04942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D12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D12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chunli@starrypharm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rrypharm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1259</Characters>
  <Application>Microsoft Office Word</Application>
  <DocSecurity>0</DocSecurity>
  <Lines>10</Lines>
  <Paragraphs>2</Paragraphs>
  <ScaleCrop>false</ScaleCrop>
  <Company>Sky123.Org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鄢春丽</dc:creator>
  <cp:keywords/>
  <dc:description/>
  <cp:lastModifiedBy>张鸿飞</cp:lastModifiedBy>
  <cp:revision>2</cp:revision>
  <dcterms:created xsi:type="dcterms:W3CDTF">2018-09-19T09:18:00Z</dcterms:created>
  <dcterms:modified xsi:type="dcterms:W3CDTF">2018-09-19T09:18:00Z</dcterms:modified>
</cp:coreProperties>
</file>