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440" w:firstLineChars="200"/>
        <w:jc w:val="center"/>
        <w:rPr>
          <w:rFonts w:ascii="微软雅黑" w:hAnsi="微软雅黑" w:eastAsia="微软雅黑" w:cs="微软雅黑"/>
          <w:b/>
          <w:bCs/>
          <w:color w:val="558ED5" w:themeColor="text2" w:themeTint="99"/>
          <w:sz w:val="32"/>
          <w:szCs w:val="32"/>
          <w14:textFill>
            <w14:solidFill>
              <w14:schemeClr w14:val="tx2">
                <w14:lumMod w14:val="60000"/>
                <w14:lumOff w14:val="40000"/>
              </w14:schemeClr>
            </w14:solidFill>
          </w14:textFill>
        </w:rPr>
      </w:pPr>
      <w:r>
        <w:rPr>
          <w:sz w:val="22"/>
        </w:rPr>
        <mc:AlternateContent>
          <mc:Choice Requires="wps">
            <w:drawing>
              <wp:anchor distT="0" distB="0" distL="114300" distR="114300" simplePos="0" relativeHeight="251662336" behindDoc="0" locked="0" layoutInCell="1" allowOverlap="1">
                <wp:simplePos x="0" y="0"/>
                <wp:positionH relativeFrom="column">
                  <wp:posOffset>2346960</wp:posOffset>
                </wp:positionH>
                <wp:positionV relativeFrom="paragraph">
                  <wp:posOffset>-552450</wp:posOffset>
                </wp:positionV>
                <wp:extent cx="3549650" cy="521970"/>
                <wp:effectExtent l="0" t="0" r="12700" b="11430"/>
                <wp:wrapNone/>
                <wp:docPr id="6" name="直角三角形 6"/>
                <wp:cNvGraphicFramePr/>
                <a:graphic xmlns:a="http://schemas.openxmlformats.org/drawingml/2006/main">
                  <a:graphicData uri="http://schemas.microsoft.com/office/word/2010/wordprocessingShape">
                    <wps:wsp>
                      <wps:cNvSpPr/>
                      <wps:spPr>
                        <a:xfrm rot="10800000">
                          <a:off x="5769610" y="146050"/>
                          <a:ext cx="3549650" cy="521970"/>
                        </a:xfrm>
                        <a:prstGeom prst="rtTriangle">
                          <a:avLst/>
                        </a:prstGeom>
                        <a:solidFill>
                          <a:srgbClr val="DEBF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84.8pt;margin-top:-43.5pt;height:41.1pt;width:279.5pt;rotation:11796480f;z-index:251662336;v-text-anchor:middle;mso-width-relative:page;mso-height-relative:page;" fillcolor="#DEBF55" filled="t" stroked="f" coordsize="21600,21600" o:gfxdata="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Te7AY2AAA&#10;AAoBAAAPAAAAAAAAAAEAIAAAACIAAABkcnMvZG93bnJldi54bWxQSwECFAAUAAAACACHTuJAWDJ9&#10;EpACAADoBAAADgAAAAAAAAABACAAAAAnAQAAZHJzL2Uyb0RvYy54bWxQSwUGAAAAAAYABgBZAQAA&#10;KQYAAAAA&#10;">
                <v:fill on="t" focussize="0,0"/>
                <v:stroke on="f" weight="2pt"/>
                <v:imagedata o:title=""/>
                <o:lock v:ext="edit" aspectratio="f"/>
                <v:textbox>
                  <w:txbxContent>
                    <w:p>
                      <w:pPr>
                        <w:jc w:val="center"/>
                      </w:pPr>
                    </w:p>
                  </w:txbxContent>
                </v:textbox>
              </v:shape>
            </w:pict>
          </mc:Fallback>
        </mc:AlternateContent>
      </w:r>
      <w:r>
        <w:rPr>
          <w:sz w:val="22"/>
        </w:rPr>
        <mc:AlternateContent>
          <mc:Choice Requires="wps">
            <w:drawing>
              <wp:anchor distT="0" distB="0" distL="114300" distR="114300" simplePos="0" relativeHeight="251665408" behindDoc="0" locked="0" layoutInCell="1" allowOverlap="1">
                <wp:simplePos x="0" y="0"/>
                <wp:positionH relativeFrom="column">
                  <wp:posOffset>5071110</wp:posOffset>
                </wp:positionH>
                <wp:positionV relativeFrom="paragraph">
                  <wp:posOffset>-537210</wp:posOffset>
                </wp:positionV>
                <wp:extent cx="821055" cy="1421765"/>
                <wp:effectExtent l="0" t="0" r="17145" b="6985"/>
                <wp:wrapNone/>
                <wp:docPr id="10" name="直角三角形 10"/>
                <wp:cNvGraphicFramePr/>
                <a:graphic xmlns:a="http://schemas.openxmlformats.org/drawingml/2006/main">
                  <a:graphicData uri="http://schemas.microsoft.com/office/word/2010/wordprocessingShape">
                    <wps:wsp>
                      <wps:cNvSpPr/>
                      <wps:spPr>
                        <a:xfrm rot="10800000">
                          <a:off x="5495925" y="446405"/>
                          <a:ext cx="821055" cy="1421765"/>
                        </a:xfrm>
                        <a:prstGeom prst="rtTriangle">
                          <a:avLst/>
                        </a:prstGeom>
                        <a:solidFill>
                          <a:srgbClr val="DEBF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99.3pt;margin-top:-42.3pt;height:111.95pt;width:64.65pt;rotation:11796480f;z-index:251665408;v-text-anchor:middle;mso-width-relative:page;mso-height-relative:page;" fillcolor="#DEBF55" filled="t" stroked="f" coordsize="21600,21600" o:gfxdata="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221YHZ&#10;AAAACwEAAA8AAAAAAAAAAQAgAAAAIgAAAGRycy9kb3ducmV2LnhtbFBLAQIUABQAAAAIAIdO4kC3&#10;d6L8kQIAAOoEAAAOAAAAAAAAAAEAIAAAACgBAABkcnMvZTJvRG9jLnhtbFBLBQYAAAAABgAGAFkB&#10;AAArBgAAAAA=&#10;">
                <v:fill on="t" focussize="0,0"/>
                <v:stroke on="f" weight="2pt"/>
                <v:imagedata o:title=""/>
                <o:lock v:ext="edit" aspectratio="f"/>
                <v:textbox>
                  <w:txbxContent>
                    <w:p>
                      <w:pPr>
                        <w:jc w:val="center"/>
                      </w:pPr>
                    </w:p>
                  </w:txbxContent>
                </v:textbox>
              </v:shape>
            </w:pict>
          </mc:Fallback>
        </mc:AlternateContent>
      </w:r>
      <w:r>
        <w:rPr>
          <w:rFonts w:hint="eastAsia" w:ascii="微软雅黑" w:hAnsi="微软雅黑" w:eastAsia="微软雅黑" w:cs="微软雅黑"/>
          <w:sz w:val="22"/>
          <w:szCs w:val="22"/>
        </w:rPr>
        <w:drawing>
          <wp:anchor distT="0" distB="0" distL="114300" distR="114300" simplePos="0" relativeHeight="251660288" behindDoc="1" locked="0" layoutInCell="1" allowOverlap="1">
            <wp:simplePos x="0" y="0"/>
            <wp:positionH relativeFrom="column">
              <wp:posOffset>-17145</wp:posOffset>
            </wp:positionH>
            <wp:positionV relativeFrom="paragraph">
              <wp:posOffset>194945</wp:posOffset>
            </wp:positionV>
            <wp:extent cx="920750" cy="351155"/>
            <wp:effectExtent l="0" t="0" r="12700" b="10795"/>
            <wp:wrapTight wrapText="bothSides">
              <wp:wrapPolygon>
                <wp:start x="5363" y="0"/>
                <wp:lineTo x="0" y="3633"/>
                <wp:lineTo x="0" y="18163"/>
                <wp:lineTo x="447" y="20584"/>
                <wp:lineTo x="21004" y="20584"/>
                <wp:lineTo x="21004" y="4843"/>
                <wp:lineTo x="20110" y="1211"/>
                <wp:lineTo x="16088" y="0"/>
                <wp:lineTo x="5363" y="0"/>
              </wp:wrapPolygon>
            </wp:wrapTight>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4"/>
                    <a:stretch>
                      <a:fillRect/>
                    </a:stretch>
                  </pic:blipFill>
                  <pic:spPr>
                    <a:xfrm>
                      <a:off x="0" y="0"/>
                      <a:ext cx="920750" cy="351155"/>
                    </a:xfrm>
                    <a:prstGeom prst="rect">
                      <a:avLst/>
                    </a:prstGeom>
                  </pic:spPr>
                </pic:pic>
              </a:graphicData>
            </a:graphic>
          </wp:anchor>
        </w:drawing>
      </w:r>
    </w:p>
    <w:p>
      <w:pPr>
        <w:spacing w:line="460" w:lineRule="exact"/>
        <w:rPr>
          <w:rFonts w:ascii="微软雅黑" w:hAnsi="微软雅黑" w:eastAsia="微软雅黑" w:cs="微软雅黑"/>
          <w:b/>
          <w:bCs/>
          <w:color w:val="173994"/>
          <w:sz w:val="32"/>
          <w:szCs w:val="32"/>
        </w:rPr>
      </w:pPr>
      <w:r>
        <w:rPr>
          <w:rFonts w:hint="eastAsia" w:ascii="微软雅黑" w:hAnsi="微软雅黑" w:eastAsia="微软雅黑" w:cs="微软雅黑"/>
          <w:b/>
          <w:bCs/>
          <w:color w:val="173994"/>
          <w:sz w:val="32"/>
          <w:szCs w:val="32"/>
        </w:rPr>
        <w:t>浙江中纺标检验有限公司简介</w:t>
      </w:r>
    </w:p>
    <w:p>
      <w:pPr>
        <w:spacing w:line="460" w:lineRule="exact"/>
        <w:jc w:val="left"/>
        <w:rPr>
          <w:rFonts w:ascii="Arial Black" w:hAnsi="Arial Black" w:eastAsia="Yu Gothic UI Semibold" w:cs="Arial Black"/>
          <w:b/>
          <w:bCs/>
          <w:color w:val="A6A6A6" w:themeColor="background1" w:themeShade="A6"/>
          <w:sz w:val="22"/>
          <w:szCs w:val="22"/>
        </w:rPr>
      </w:pPr>
      <w:r>
        <w:rPr>
          <w:rFonts w:ascii="Arial Black" w:hAnsi="Arial Black" w:eastAsia="Yu Gothic UI Semibold" w:cs="Arial Black"/>
          <w:b/>
          <w:bCs/>
          <w:color w:val="A6A6A6" w:themeColor="background1" w:themeShade="A6"/>
          <w:sz w:val="22"/>
          <w:szCs w:val="22"/>
        </w:rPr>
        <w:t>Chinatesta Testile Testing Services（Zhejiang）</w:t>
      </w:r>
    </w:p>
    <w:p>
      <w:pPr>
        <w:spacing w:line="460" w:lineRule="exact"/>
        <w:ind w:firstLine="440" w:firstLineChars="200"/>
        <w:rPr>
          <w:rFonts w:ascii="微软雅黑" w:hAnsi="微软雅黑" w:eastAsia="微软雅黑" w:cs="微软雅黑"/>
          <w:sz w:val="22"/>
          <w:szCs w:val="22"/>
        </w:rPr>
      </w:pPr>
      <w:r>
        <w:rPr>
          <w:sz w:val="22"/>
        </w:rPr>
        <mc:AlternateContent>
          <mc:Choice Requires="wps">
            <w:drawing>
              <wp:anchor distT="0" distB="0" distL="114300" distR="114300" simplePos="0" relativeHeight="251661312" behindDoc="0" locked="0" layoutInCell="1" allowOverlap="1">
                <wp:simplePos x="0" y="0"/>
                <wp:positionH relativeFrom="column">
                  <wp:posOffset>-128270</wp:posOffset>
                </wp:positionH>
                <wp:positionV relativeFrom="paragraph">
                  <wp:posOffset>77470</wp:posOffset>
                </wp:positionV>
                <wp:extent cx="6407785" cy="28575"/>
                <wp:effectExtent l="0" t="0" r="12065" b="9525"/>
                <wp:wrapNone/>
                <wp:docPr id="219" name=" 219"/>
                <wp:cNvGraphicFramePr/>
                <a:graphic xmlns:a="http://schemas.openxmlformats.org/drawingml/2006/main">
                  <a:graphicData uri="http://schemas.microsoft.com/office/word/2010/wordprocessingShape">
                    <wps:wsp>
                      <wps:cNvSpPr/>
                      <wps:spPr>
                        <a:xfrm>
                          <a:off x="918210" y="1253490"/>
                          <a:ext cx="6407785" cy="28575"/>
                        </a:xfrm>
                        <a:prstGeom prst="roundRect">
                          <a:avLst>
                            <a:gd name="adj" fmla="val 50000"/>
                          </a:avLst>
                        </a:prstGeom>
                        <a:solidFill>
                          <a:srgbClr val="1739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420" w:leftChars="-200"/>
                              <w:rPr>
                                <w:color w:val="173994"/>
                              </w:rPr>
                            </w:pPr>
                            <w:r>
                              <w:rPr>
                                <w:color w:val="173994"/>
                              </w:rPr>
                              <w:drawing>
                                <wp:inline distT="0" distB="0" distL="114300" distR="114300">
                                  <wp:extent cx="5399405" cy="7199630"/>
                                  <wp:effectExtent l="0" t="0" r="1079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399989" cy="7200053"/>
                                          </a:xfrm>
                                          <a:prstGeom prst="rect">
                                            <a:avLst/>
                                          </a:prstGeom>
                                        </pic:spPr>
                                      </pic:pic>
                                    </a:graphicData>
                                  </a:graphic>
                                </wp:inline>
                              </w:drawing>
                            </w:r>
                          </w:p>
                        </w:txbxContent>
                      </wps:txbx>
                      <wps:bodyPr anchor="ctr"/>
                    </wps:wsp>
                  </a:graphicData>
                </a:graphic>
              </wp:anchor>
            </w:drawing>
          </mc:Choice>
          <mc:Fallback>
            <w:pict>
              <v:roundrect id=" 219" o:spid="_x0000_s1026" o:spt="2" style="position:absolute;left:0pt;margin-left:-10.1pt;margin-top:6.1pt;height:2.25pt;width:504.55pt;z-index:251661312;v-text-anchor:middle;mso-width-relative:page;mso-height-relative:page;" fillcolor="#173994" filled="t" stroked="f" coordsize="21600,21600" arcsize="0.5" o:gfxdata="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GNjc9cAAAAJAQAADwAAAAAAAAABACAAAAAiAAAAZHJzL2Rvd25yZXYueG1sUEsB&#10;AhQAFAAAAAgAh07iQCKNlFH2AQAA6AMAAA4AAAAAAAAAAQAgAAAAJgEAAGRycy9lMm9Eb2MueG1s&#10;UEsFBgAAAAAGAAYAWQEAAI4FAAAAAA==&#10;">
                <v:fill on="t" focussize="0,0"/>
                <v:stroke on="f" weight="2pt"/>
                <v:imagedata o:title=""/>
                <o:lock v:ext="edit" aspectratio="f"/>
                <v:textbox>
                  <w:txbxContent>
                    <w:p>
                      <w:pPr>
                        <w:ind w:left="-420" w:leftChars="-200"/>
                        <w:rPr>
                          <w:color w:val="173994"/>
                        </w:rPr>
                      </w:pPr>
                      <w:r>
                        <w:rPr>
                          <w:color w:val="173994"/>
                        </w:rPr>
                        <w:drawing>
                          <wp:inline distT="0" distB="0" distL="114300" distR="114300">
                            <wp:extent cx="5399405" cy="7199630"/>
                            <wp:effectExtent l="0" t="0" r="1079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399989" cy="7200053"/>
                                    </a:xfrm>
                                    <a:prstGeom prst="rect">
                                      <a:avLst/>
                                    </a:prstGeom>
                                  </pic:spPr>
                                </pic:pic>
                              </a:graphicData>
                            </a:graphic>
                          </wp:inline>
                        </w:drawing>
                      </w:r>
                    </w:p>
                  </w:txbxContent>
                </v:textbox>
              </v:roundrect>
            </w:pict>
          </mc:Fallback>
        </mc:AlternateContent>
      </w: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浙江中纺标检验有限公司是由中纺标检验认证股份有限公司（简称“中纺标”，英文缩写与中纺院（浙江）技术研究院有限公司共同投资组建，是一家具有独立法人资格的第三方公正性检验机构（央企）。公司成立于2008年10月，注册资金500万元。公司已通过中国合格评定国家认可委员会(CNAS)认可及浙江省市场监督管理局（CMA）审查认证，并获得了进出口商品检验认证资质，能够独立为社会提供公正权威的检测报告，是政府部门、企业和社会各界值得信赖的第三方检测机构。</w:t>
      </w: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公司拥有一支精通纺织服装标准，并拥有多年检测经验的人才队伍，其中包括多名高级实验师、中高级工程师。现有人员百余人，其中大专及以上的学历人员达90%以上。</w:t>
      </w: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公司目前拥有七个管理部门，并在上海、杭州、宁波、温州等地建立了服务网点，形成了覆盖整个长三角区域的服务网络。公司严格按照ISO/IEC17025：2017国际标准及检验检测机构资质认定能力评价检验检测机构通用要求建立并稳定运行的质量保障体系，业务管理实施网络信息化。公司依托中纺标强大的技术及信息支撑，为企业委托检测、标准信息、纺织仪器计量及产品认证等技术服务提供最快捷的质量保证。</w:t>
      </w: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目前公司实验室面积共计3700</w:t>
      </w:r>
      <w:r>
        <w:rPr>
          <w:rFonts w:hint="eastAsia" w:ascii="微软雅黑" w:hAnsi="微软雅黑" w:eastAsia="微软雅黑" w:cs="微软雅黑"/>
          <w:sz w:val="22"/>
          <w:szCs w:val="22"/>
          <w:lang w:val="en-US" w:eastAsia="zh-CN"/>
        </w:rPr>
        <w:t>平米</w:t>
      </w:r>
      <w:r>
        <w:rPr>
          <w:rFonts w:hint="eastAsia" w:ascii="微软雅黑" w:hAnsi="微软雅黑" w:eastAsia="微软雅黑" w:cs="微软雅黑"/>
          <w:sz w:val="22"/>
          <w:szCs w:val="22"/>
        </w:rPr>
        <w:t xml:space="preserve"> ，拥有国内外先进的检测仪器、设备共300多台（套），可按GB、ISO、AATCC、ASTM、FZ等国内外标准从事各类纺织纤维、纱线、织物、服装、鞋类、箱包等制品的理化性能、生态及功能性检测。</w:t>
      </w: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color w:val="558ED5" w:themeColor="text2" w:themeTint="99"/>
          <w:sz w:val="22"/>
          <w:szCs w:val="22"/>
          <w14:textFill>
            <w14:solidFill>
              <w14:schemeClr w14:val="tx2">
                <w14:lumMod w14:val="60000"/>
                <w14:lumOff w14:val="40000"/>
              </w14:schemeClr>
            </w14:solidFill>
          </w14:textFill>
        </w:rPr>
        <w:drawing>
          <wp:anchor distT="0" distB="0" distL="114300" distR="114300" simplePos="0" relativeHeight="251659264" behindDoc="1" locked="0" layoutInCell="1" allowOverlap="1">
            <wp:simplePos x="0" y="0"/>
            <wp:positionH relativeFrom="column">
              <wp:posOffset>-919480</wp:posOffset>
            </wp:positionH>
            <wp:positionV relativeFrom="paragraph">
              <wp:posOffset>358775</wp:posOffset>
            </wp:positionV>
            <wp:extent cx="7877810" cy="4248785"/>
            <wp:effectExtent l="0" t="0" r="8890" b="18415"/>
            <wp:wrapNone/>
            <wp:docPr id="1" name="图片 2" descr="IMG_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3913"/>
                    <pic:cNvPicPr>
                      <a:picLocks noChangeAspect="1"/>
                    </pic:cNvPicPr>
                  </pic:nvPicPr>
                  <pic:blipFill>
                    <a:blip r:embed="rId6">
                      <a:lum bright="69998" contrast="-70001"/>
                    </a:blip>
                    <a:stretch>
                      <a:fillRect/>
                    </a:stretch>
                  </pic:blipFill>
                  <pic:spPr>
                    <a:xfrm>
                      <a:off x="0" y="0"/>
                      <a:ext cx="7877810" cy="4248785"/>
                    </a:xfrm>
                    <a:prstGeom prst="rect">
                      <a:avLst/>
                    </a:prstGeom>
                    <a:gradFill rotWithShape="0">
                      <a:gsLst>
                        <a:gs pos="0">
                          <a:srgbClr val="FFFFFF">
                            <a:gamma/>
                            <a:shade val="45882"/>
                            <a:invGamma/>
                          </a:srgbClr>
                        </a:gs>
                        <a:gs pos="100000">
                          <a:srgbClr val="FFFFFF"/>
                        </a:gs>
                      </a:gsLst>
                      <a:lin ang="5400000" scaled="1"/>
                      <a:tileRect/>
                    </a:gradFill>
                    <a:ln w="9525">
                      <a:noFill/>
                    </a:ln>
                  </pic:spPr>
                </pic:pic>
              </a:graphicData>
            </a:graphic>
          </wp:anchor>
        </w:drawing>
      </w:r>
      <w:r>
        <w:rPr>
          <w:rFonts w:hint="eastAsia" w:ascii="微软雅黑" w:hAnsi="微软雅黑" w:eastAsia="微软雅黑" w:cs="微软雅黑"/>
          <w:sz w:val="22"/>
          <w:szCs w:val="22"/>
        </w:rPr>
        <w:t>公司本着为客户服务、对数据负责的宗旨，及时公正地出具检验报告，积极为长三角地区纺织、服装、鞋革、箱包等企业提供近距离的服务，帮助企业解决产品质量的技术难题。经过几年的运行，公司已成为长三角地区最有影响力的纺织服装、鞋类、箱包类质检机构之一，并被中国商业联合会授予“轻纺消费品的质量监督检验中心（浙江）”，公司以公正、科学、权威、准确、及时、全面、诚信服务博得了各方面的赞誉。</w:t>
      </w:r>
    </w:p>
    <w:p>
      <w:pPr>
        <w:spacing w:line="460" w:lineRule="exact"/>
        <w:ind w:firstLine="440" w:firstLineChars="200"/>
        <w:rPr>
          <w:rFonts w:ascii="微软雅黑" w:hAnsi="微软雅黑" w:eastAsia="微软雅黑" w:cs="微软雅黑"/>
          <w:sz w:val="22"/>
          <w:szCs w:val="22"/>
        </w:rPr>
      </w:pPr>
    </w:p>
    <w:p>
      <w:pPr>
        <w:spacing w:line="460" w:lineRule="exact"/>
        <w:ind w:left="-199" w:leftChars="-95"/>
        <w:rPr>
          <w:rFonts w:ascii="宋体" w:cs="宋体"/>
          <w:color w:val="FFFFFF" w:themeColor="background1"/>
          <w:sz w:val="22"/>
          <w:szCs w:val="22"/>
          <w14:textFill>
            <w14:solidFill>
              <w14:schemeClr w14:val="bg1"/>
            </w14:solidFill>
          </w14:textFill>
        </w:rPr>
      </w:pPr>
      <w:r>
        <w:rPr>
          <w:rFonts w:hint="eastAsia" w:ascii="微软雅黑" w:hAnsi="微软雅黑" w:eastAsia="微软雅黑" w:cs="微软雅黑"/>
          <w:b/>
          <w:bCs/>
          <w:color w:val="FFFFFF" w:themeColor="background1"/>
          <w:sz w:val="22"/>
          <w:szCs w:val="22"/>
          <w14:textFill>
            <w14:solidFill>
              <w14:schemeClr w14:val="bg1"/>
            </w14:solidFill>
          </w14:textFill>
        </w:rPr>
        <w:t>附：获得资质</w:t>
      </w:r>
    </w:p>
    <w:p>
      <w:pPr>
        <w:numPr>
          <w:ilvl w:val="1"/>
          <w:numId w:val="1"/>
        </w:numPr>
        <w:spacing w:line="460" w:lineRule="exact"/>
        <w:rPr>
          <w:rFonts w:ascii="宋体" w:cs="宋体"/>
          <w:color w:val="FFFFFF" w:themeColor="background1"/>
          <w:sz w:val="22"/>
          <w:szCs w:val="22"/>
          <w14:textFill>
            <w14:solidFill>
              <w14:schemeClr w14:val="bg1"/>
            </w14:solidFill>
          </w14:textFill>
        </w:rPr>
        <w:sectPr>
          <w:pgSz w:w="11906" w:h="16838"/>
          <w:pgMar w:top="850" w:right="1080" w:bottom="850" w:left="1080" w:header="851" w:footer="992" w:gutter="0"/>
          <w:cols w:space="0" w:num="1"/>
          <w:docGrid w:type="lines" w:linePitch="312" w:charSpace="0"/>
        </w:sectPr>
      </w:pPr>
    </w:p>
    <w:p>
      <w:pPr>
        <w:numPr>
          <w:ilvl w:val="0"/>
          <w:numId w:val="2"/>
        </w:numPr>
        <w:spacing w:line="460" w:lineRule="exact"/>
        <w:ind w:left="203" w:leftChars="-94" w:hanging="400" w:hangingChars="181"/>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省级高新技术企业</w:t>
      </w:r>
    </w:p>
    <w:p>
      <w:pPr>
        <w:numPr>
          <w:ilvl w:val="0"/>
          <w:numId w:val="2"/>
        </w:numPr>
        <w:spacing w:line="460" w:lineRule="exact"/>
        <w:ind w:left="203" w:leftChars="-94" w:hanging="400" w:hangingChars="181"/>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浙江省外贸公共服务平台</w:t>
      </w:r>
    </w:p>
    <w:p>
      <w:pPr>
        <w:numPr>
          <w:ilvl w:val="0"/>
          <w:numId w:val="2"/>
        </w:numPr>
        <w:spacing w:line="460" w:lineRule="exact"/>
        <w:ind w:left="201" w:leftChars="-94" w:hanging="398" w:hangingChars="181"/>
        <w:rPr>
          <w:rFonts w:ascii="仿宋" w:hAnsi="仿宋" w:eastAsia="仿宋" w:cs="仿宋"/>
          <w:b/>
          <w:bCs/>
          <w:color w:val="FFFFFF" w:themeColor="background1"/>
          <w:sz w:val="22"/>
          <w:szCs w:val="22"/>
          <w14:textFill>
            <w14:solidFill>
              <w14:schemeClr w14:val="bg1"/>
            </w14:solidFill>
          </w14:textFill>
        </w:rPr>
      </w:pPr>
      <w:r>
        <w:rPr>
          <w:color w:val="FFFFFF" w:themeColor="background1"/>
          <w:sz w:val="22"/>
          <w14:textFill>
            <w14:solidFill>
              <w14:schemeClr w14:val="bg1"/>
            </w14:solidFill>
          </w14:textFill>
        </w:rPr>
        <mc:AlternateContent>
          <mc:Choice Requires="wps">
            <w:drawing>
              <wp:anchor distT="0" distB="0" distL="114300" distR="114300" simplePos="0" relativeHeight="251664384" behindDoc="0" locked="0" layoutInCell="1" allowOverlap="1">
                <wp:simplePos x="0" y="0"/>
                <wp:positionH relativeFrom="column">
                  <wp:posOffset>-909955</wp:posOffset>
                </wp:positionH>
                <wp:positionV relativeFrom="paragraph">
                  <wp:posOffset>106045</wp:posOffset>
                </wp:positionV>
                <wp:extent cx="718185" cy="1381760"/>
                <wp:effectExtent l="0" t="0" r="5715" b="8890"/>
                <wp:wrapNone/>
                <wp:docPr id="8" name="直角三角形 8"/>
                <wp:cNvGraphicFramePr/>
                <a:graphic xmlns:a="http://schemas.openxmlformats.org/drawingml/2006/main">
                  <a:graphicData uri="http://schemas.microsoft.com/office/word/2010/wordprocessingShape">
                    <wps:wsp>
                      <wps:cNvSpPr/>
                      <wps:spPr>
                        <a:xfrm>
                          <a:off x="67945" y="8875395"/>
                          <a:ext cx="718185" cy="1381760"/>
                        </a:xfrm>
                        <a:prstGeom prst="rtTriangle">
                          <a:avLst/>
                        </a:prstGeom>
                        <a:solidFill>
                          <a:srgbClr val="DAB9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71.65pt;margin-top:8.35pt;height:108.8pt;width:56.55pt;z-index:251664384;v-text-anchor:middle;mso-width-relative:page;mso-height-relative:page;" fillcolor="#DAB94E" filled="t" stroked="f" coordsize="21600,21600" o:gfxdata="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Y2CpvYAAAACwEAAA8A&#10;AAAAAAAAAQAgAAAAIgAAAGRycy9kb3ducmV2LnhtbFBLAQIUABQAAAAIAIdO4kCobgrliQIAANgE&#10;AAAOAAAAAAAAAAEAIAAAACcBAABkcnMvZTJvRG9jLnhtbFBLBQYAAAAABgAGAFkBAAAiBgAAAAA=&#10;">
                <v:fill on="t" focussize="0,0"/>
                <v:stroke on="f" weight="2pt"/>
                <v:imagedata o:title=""/>
                <o:lock v:ext="edit" aspectratio="f"/>
                <v:textbox>
                  <w:txbxContent>
                    <w:p>
                      <w:pPr>
                        <w:jc w:val="center"/>
                      </w:pPr>
                    </w:p>
                  </w:txbxContent>
                </v:textbox>
              </v:shape>
            </w:pict>
          </mc:Fallback>
        </mc:AlternateContent>
      </w:r>
      <w:r>
        <w:rPr>
          <w:rFonts w:hint="eastAsia" w:ascii="仿宋" w:hAnsi="仿宋" w:eastAsia="仿宋" w:cs="仿宋"/>
          <w:b/>
          <w:bCs/>
          <w:color w:val="FFFFFF" w:themeColor="background1"/>
          <w:sz w:val="22"/>
          <w:szCs w:val="22"/>
          <w14:textFill>
            <w14:solidFill>
              <w14:schemeClr w14:val="bg1"/>
            </w14:solidFill>
          </w14:textFill>
        </w:rPr>
        <w:t>浙江省科技型中小企业</w:t>
      </w:r>
    </w:p>
    <w:p>
      <w:pPr>
        <w:numPr>
          <w:ilvl w:val="0"/>
          <w:numId w:val="2"/>
        </w:numPr>
        <w:spacing w:line="460" w:lineRule="exact"/>
        <w:ind w:left="203" w:leftChars="-94" w:hanging="400" w:hangingChars="181"/>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浙江省区域技术标准联合创新基地</w:t>
      </w:r>
    </w:p>
    <w:p>
      <w:pPr>
        <w:numPr>
          <w:ilvl w:val="0"/>
          <w:numId w:val="2"/>
        </w:numPr>
        <w:spacing w:line="460" w:lineRule="exact"/>
        <w:ind w:left="201" w:leftChars="-94" w:hanging="398" w:hangingChars="181"/>
        <w:rPr>
          <w:rFonts w:ascii="仿宋" w:hAnsi="仿宋" w:eastAsia="仿宋" w:cs="仿宋"/>
          <w:b/>
          <w:bCs/>
          <w:color w:val="FFFFFF" w:themeColor="background1"/>
          <w:sz w:val="22"/>
          <w:szCs w:val="22"/>
          <w14:textFill>
            <w14:solidFill>
              <w14:schemeClr w14:val="bg1"/>
            </w14:solidFill>
          </w14:textFill>
        </w:rPr>
      </w:pPr>
      <w:r>
        <w:rPr>
          <w:color w:val="FFFFFF" w:themeColor="background1"/>
          <w:sz w:val="22"/>
          <w14:textFill>
            <w14:solidFill>
              <w14:schemeClr w14:val="bg1"/>
            </w14:solidFill>
          </w14:textFill>
        </w:rPr>
        <mc:AlternateContent>
          <mc:Choice Requires="wps">
            <w:drawing>
              <wp:anchor distT="0" distB="0" distL="114300" distR="114300" simplePos="0" relativeHeight="251663360" behindDoc="0" locked="0" layoutInCell="1" allowOverlap="1">
                <wp:simplePos x="0" y="0"/>
                <wp:positionH relativeFrom="column">
                  <wp:posOffset>-1152525</wp:posOffset>
                </wp:positionH>
                <wp:positionV relativeFrom="paragraph">
                  <wp:posOffset>291465</wp:posOffset>
                </wp:positionV>
                <wp:extent cx="3327400" cy="626745"/>
                <wp:effectExtent l="0" t="0" r="6350" b="1905"/>
                <wp:wrapNone/>
                <wp:docPr id="7" name="直角三角形 7"/>
                <wp:cNvGraphicFramePr/>
                <a:graphic xmlns:a="http://schemas.openxmlformats.org/drawingml/2006/main">
                  <a:graphicData uri="http://schemas.microsoft.com/office/word/2010/wordprocessingShape">
                    <wps:wsp>
                      <wps:cNvSpPr/>
                      <wps:spPr>
                        <a:xfrm>
                          <a:off x="120015" y="9397365"/>
                          <a:ext cx="3327400" cy="626745"/>
                        </a:xfrm>
                        <a:prstGeom prst="rtTriangle">
                          <a:avLst/>
                        </a:prstGeom>
                        <a:solidFill>
                          <a:srgbClr val="DEBF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90.75pt;margin-top:22.95pt;height:49.35pt;width:262pt;z-index:251663360;v-text-anchor:middle;mso-width-relative:page;mso-height-relative:page;" fillcolor="#DEBF55" filled="t" stroked="f" coordsize="21600,21600" o:gfxdata="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IZEc3bAAAACwEAAA8A&#10;AAAAAAAAAQAgAAAAIgAAAGRycy9kb3ducmV2LnhtbFBLAQIUABQAAAAIAIdO4kAZ8jCchgIAANkE&#10;AAAOAAAAAAAAAAEAIAAAACoBAABkcnMvZTJvRG9jLnhtbFBLBQYAAAAABgAGAFkBAAAiBgAAAAA=&#10;">
                <v:fill on="t" focussize="0,0"/>
                <v:stroke on="f" weight="2pt"/>
                <v:imagedata o:title=""/>
                <o:lock v:ext="edit" aspectratio="f"/>
                <v:textbox>
                  <w:txbxContent>
                    <w:p>
                      <w:pPr>
                        <w:jc w:val="center"/>
                      </w:pPr>
                    </w:p>
                  </w:txbxContent>
                </v:textbox>
              </v:shape>
            </w:pict>
          </mc:Fallback>
        </mc:AlternateContent>
      </w:r>
      <w:r>
        <w:rPr>
          <w:rFonts w:hint="eastAsia" w:ascii="仿宋" w:hAnsi="仿宋" w:eastAsia="仿宋" w:cs="仿宋"/>
          <w:b/>
          <w:bCs/>
          <w:color w:val="FFFFFF" w:themeColor="background1"/>
          <w:sz w:val="22"/>
          <w:szCs w:val="22"/>
          <w14:textFill>
            <w14:solidFill>
              <w14:schemeClr w14:val="bg1"/>
            </w14:solidFill>
          </w14:textFill>
        </w:rPr>
        <w:t>浙江省服装行业协会常务理事单位</w:t>
      </w:r>
    </w:p>
    <w:p>
      <w:pPr>
        <w:numPr>
          <w:ilvl w:val="0"/>
          <w:numId w:val="2"/>
        </w:numPr>
        <w:spacing w:line="460" w:lineRule="exact"/>
        <w:ind w:left="0" w:right="-678" w:rightChars="-323" w:firstLine="0"/>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国家纺织制品质量监督检测中心绍兴工作站</w:t>
      </w:r>
    </w:p>
    <w:p>
      <w:pPr>
        <w:numPr>
          <w:ilvl w:val="0"/>
          <w:numId w:val="2"/>
        </w:numPr>
        <w:spacing w:line="460" w:lineRule="exact"/>
        <w:ind w:left="0" w:right="-678" w:rightChars="-323" w:firstLine="0"/>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绍兴市检验检测协会理事单位</w:t>
      </w:r>
    </w:p>
    <w:p>
      <w:pPr>
        <w:numPr>
          <w:ilvl w:val="0"/>
          <w:numId w:val="2"/>
        </w:numPr>
        <w:spacing w:line="460" w:lineRule="exact"/>
        <w:ind w:left="0" w:right="-678" w:rightChars="-323" w:firstLine="0"/>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绍兴市社会科研检测资源开放共享示范实验室</w:t>
      </w:r>
    </w:p>
    <w:p>
      <w:pPr>
        <w:numPr>
          <w:ilvl w:val="0"/>
          <w:numId w:val="2"/>
        </w:numPr>
        <w:spacing w:line="460" w:lineRule="exact"/>
        <w:ind w:left="0" w:right="-678" w:rightChars="-323" w:firstLine="0"/>
        <w:rPr>
          <w:rFonts w:ascii="仿宋" w:hAnsi="仿宋" w:eastAsia="仿宋" w:cs="仿宋"/>
          <w:b/>
          <w:bCs/>
          <w:color w:val="FFFFFF" w:themeColor="background1"/>
          <w:sz w:val="22"/>
          <w:szCs w:val="22"/>
          <w14:textFill>
            <w14:solidFill>
              <w14:schemeClr w14:val="bg1"/>
            </w14:solidFill>
          </w14:textFill>
        </w:rPr>
      </w:pPr>
      <w:r>
        <w:rPr>
          <w:rFonts w:hint="eastAsia" w:ascii="仿宋" w:hAnsi="仿宋" w:eastAsia="仿宋" w:cs="仿宋"/>
          <w:b/>
          <w:bCs/>
          <w:color w:val="FFFFFF" w:themeColor="background1"/>
          <w:sz w:val="22"/>
          <w:szCs w:val="22"/>
          <w14:textFill>
            <w14:solidFill>
              <w14:schemeClr w14:val="bg1"/>
            </w14:solidFill>
          </w14:textFill>
        </w:rPr>
        <w:t>省级高新技术企业研究开发中心</w:t>
      </w:r>
    </w:p>
    <w:p>
      <w:pPr>
        <w:ind w:right="-4819" w:rightChars="-2295"/>
        <w:jc w:val="left"/>
        <w:sectPr>
          <w:type w:val="continuous"/>
          <w:pgSz w:w="11906" w:h="16838"/>
          <w:pgMar w:top="1440" w:right="1485" w:bottom="1440" w:left="1380" w:header="851" w:footer="992" w:gutter="0"/>
          <w:cols w:equalWidth="0" w:num="2">
            <w:col w:w="4420" w:space="0"/>
            <w:col w:w="4620"/>
          </w:cols>
          <w:docGrid w:type="lines" w:linePitch="312" w:charSpace="0"/>
        </w:sectPr>
      </w:pPr>
    </w:p>
    <w:p>
      <w:pPr>
        <w:pStyle w:val="6"/>
        <w:bidi w:val="0"/>
        <w:rPr>
          <w:rFonts w:hint="eastAsia"/>
        </w:rPr>
      </w:pPr>
      <w:r>
        <w:rPr>
          <w:rFonts w:hint="eastAsia"/>
        </w:rPr>
        <w:t>招聘岗位：</w:t>
      </w:r>
      <w:bookmarkStart w:id="0" w:name="_GoBack"/>
      <w:bookmarkEnd w:id="0"/>
    </w:p>
    <w:p>
      <w:pPr>
        <w:numPr>
          <w:ilvl w:val="0"/>
          <w:numId w:val="3"/>
        </w:numPr>
        <w:bidi w:val="0"/>
        <w:rPr>
          <w:rFonts w:hint="default"/>
          <w:lang w:val="en-US" w:eastAsia="zh-CN"/>
        </w:rPr>
      </w:pPr>
      <w:r>
        <w:rPr>
          <w:rFonts w:hint="eastAsia"/>
          <w:lang w:val="en-US" w:eastAsia="zh-CN"/>
        </w:rPr>
        <w:t>技术部文审   1名</w:t>
      </w:r>
    </w:p>
    <w:p>
      <w:pPr>
        <w:numPr>
          <w:numId w:val="0"/>
        </w:numPr>
        <w:bidi w:val="0"/>
        <w:rPr>
          <w:rFonts w:hint="default"/>
          <w:lang w:val="en-US" w:eastAsia="zh-CN"/>
        </w:rPr>
      </w:pPr>
    </w:p>
    <w:p>
      <w:pPr>
        <w:numPr>
          <w:ilvl w:val="0"/>
          <w:numId w:val="3"/>
        </w:numPr>
        <w:bidi w:val="0"/>
        <w:ind w:left="0" w:leftChars="0" w:firstLine="0" w:firstLineChars="0"/>
        <w:rPr>
          <w:rFonts w:hint="eastAsia"/>
          <w:lang w:val="en-US" w:eastAsia="zh-CN"/>
        </w:rPr>
      </w:pPr>
      <w:r>
        <w:rPr>
          <w:rFonts w:hint="eastAsia"/>
          <w:lang w:val="en-US" w:eastAsia="zh-CN"/>
        </w:rPr>
        <w:t>下单编制    2名</w:t>
      </w:r>
    </w:p>
    <w:p>
      <w:pPr>
        <w:numPr>
          <w:numId w:val="0"/>
        </w:numPr>
        <w:bidi w:val="0"/>
        <w:ind w:leftChars="0" w:firstLine="420" w:firstLineChars="200"/>
        <w:rPr>
          <w:rFonts w:hint="eastAsia"/>
          <w:lang w:val="en-US" w:eastAsia="zh-CN"/>
        </w:rPr>
      </w:pPr>
      <w:r>
        <w:rPr>
          <w:rFonts w:hint="eastAsia"/>
          <w:lang w:val="en-US" w:eastAsia="zh-CN"/>
        </w:rPr>
        <w:t>岗位简述：日常检测下单编制报告工作，确保录入审核文职信息的准确，完成核单、报告打印、贴样工作。</w:t>
      </w:r>
    </w:p>
    <w:p>
      <w:pPr>
        <w:numPr>
          <w:numId w:val="0"/>
        </w:numPr>
        <w:bidi w:val="0"/>
        <w:ind w:leftChars="0" w:firstLine="420" w:firstLineChars="20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商务服务    3人</w:t>
      </w:r>
    </w:p>
    <w:p>
      <w:pPr>
        <w:numPr>
          <w:numId w:val="0"/>
        </w:numPr>
        <w:bidi w:val="0"/>
        <w:ind w:leftChars="0" w:firstLine="420"/>
        <w:rPr>
          <w:rFonts w:hint="eastAsia"/>
          <w:lang w:val="en-US" w:eastAsia="zh-CN"/>
        </w:rPr>
      </w:pPr>
      <w:r>
        <w:rPr>
          <w:rFonts w:hint="eastAsia"/>
          <w:lang w:val="en-US" w:eastAsia="zh-CN"/>
        </w:rPr>
        <w:t>岗位简述：负责送检样品信息内外传达和处理，送检合同评审审单，修改报告的下单计费，客户退样 、报告寄送、分包管理等工作。</w:t>
      </w:r>
    </w:p>
    <w:p>
      <w:pPr>
        <w:numPr>
          <w:numId w:val="0"/>
        </w:numPr>
        <w:bidi w:val="0"/>
        <w:ind w:leftChars="0" w:firstLine="42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物理、轻工、微生物、化学、数据控制    4-5人</w:t>
      </w:r>
    </w:p>
    <w:p>
      <w:pPr>
        <w:numPr>
          <w:numId w:val="0"/>
        </w:numPr>
        <w:bidi w:val="0"/>
        <w:ind w:leftChars="0" w:firstLine="420" w:firstLineChars="200"/>
        <w:rPr>
          <w:rFonts w:hint="eastAsia"/>
          <w:lang w:val="en-US" w:eastAsia="zh-CN"/>
        </w:rPr>
      </w:pPr>
      <w:r>
        <w:rPr>
          <w:rFonts w:hint="eastAsia"/>
          <w:lang w:val="en-US" w:eastAsia="zh-CN"/>
        </w:rPr>
        <w:t>岗位简述：对最终检测数据负责深究，参数确定和结果验证，审核数据差错，负责实验操作监管指导。</w:t>
      </w:r>
    </w:p>
    <w:p>
      <w:pPr>
        <w:numPr>
          <w:numId w:val="0"/>
        </w:numPr>
        <w:bidi w:val="0"/>
        <w:ind w:leftChars="0" w:firstLine="420" w:firstLineChars="20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色牢度、物理、成分定性实验员        4-5人</w:t>
      </w:r>
    </w:p>
    <w:p>
      <w:pPr>
        <w:numPr>
          <w:numId w:val="0"/>
        </w:numPr>
        <w:bidi w:val="0"/>
        <w:ind w:leftChars="0" w:firstLine="420" w:firstLineChars="200"/>
        <w:rPr>
          <w:rFonts w:hint="eastAsia"/>
          <w:lang w:val="en-US" w:eastAsia="zh-CN"/>
        </w:rPr>
      </w:pPr>
      <w:r>
        <w:rPr>
          <w:rFonts w:hint="eastAsia"/>
          <w:lang w:val="en-US" w:eastAsia="zh-CN"/>
        </w:rPr>
        <w:t>岗位简述：按时完成每日送检备样、测试，确保数据操作、测试过程、记录准确性。</w:t>
      </w:r>
    </w:p>
    <w:p>
      <w:pPr>
        <w:numPr>
          <w:numId w:val="0"/>
        </w:numPr>
        <w:bidi w:val="0"/>
        <w:ind w:leftChars="0" w:firstLine="420" w:firstLineChars="20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 xml:space="preserve">化学、成分录入审核员       2-3人       </w:t>
      </w:r>
    </w:p>
    <w:p>
      <w:pPr>
        <w:numPr>
          <w:numId w:val="0"/>
        </w:numPr>
        <w:bidi w:val="0"/>
        <w:ind w:leftChars="0" w:firstLine="420"/>
        <w:rPr>
          <w:rFonts w:hint="eastAsia"/>
          <w:lang w:val="en-US" w:eastAsia="zh-CN"/>
        </w:rPr>
      </w:pPr>
      <w:r>
        <w:rPr>
          <w:rFonts w:hint="eastAsia"/>
          <w:lang w:val="en-US" w:eastAsia="zh-CN"/>
        </w:rPr>
        <w:t>岗位简述：录入检测数据，确保系统数据与原始数据一致性，数据审核，每日单量统计，单量延误提醒，辅助测试。</w:t>
      </w:r>
    </w:p>
    <w:p>
      <w:pPr>
        <w:numPr>
          <w:numId w:val="0"/>
        </w:numPr>
        <w:bidi w:val="0"/>
        <w:ind w:leftChars="0" w:firstLine="42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审核室助理  1-2人</w:t>
      </w:r>
    </w:p>
    <w:p>
      <w:pPr>
        <w:numPr>
          <w:numId w:val="0"/>
        </w:numPr>
        <w:bidi w:val="0"/>
        <w:ind w:leftChars="0" w:firstLine="420" w:firstLineChars="200"/>
        <w:rPr>
          <w:rFonts w:hint="eastAsia"/>
          <w:lang w:val="en-US" w:eastAsia="zh-CN"/>
        </w:rPr>
      </w:pPr>
      <w:r>
        <w:rPr>
          <w:rFonts w:hint="eastAsia"/>
          <w:lang w:val="en-US" w:eastAsia="zh-CN"/>
        </w:rPr>
        <w:t>岗位简述：检测前复杂参数确认和检测后参数核对，样品工艺参数确认，差错分析修改，解决技术争议及外部投诉，日常操作培养监督。</w:t>
      </w:r>
    </w:p>
    <w:p>
      <w:pPr>
        <w:numPr>
          <w:numId w:val="0"/>
        </w:numPr>
        <w:bidi w:val="0"/>
        <w:ind w:leftChars="0" w:firstLine="420" w:firstLineChars="200"/>
        <w:rPr>
          <w:rFonts w:hint="default"/>
          <w:lang w:val="en-US" w:eastAsia="zh-CN"/>
        </w:rPr>
      </w:pPr>
    </w:p>
    <w:p>
      <w:pPr>
        <w:numPr>
          <w:ilvl w:val="0"/>
          <w:numId w:val="3"/>
        </w:numPr>
        <w:bidi w:val="0"/>
        <w:ind w:left="0" w:leftChars="0" w:firstLine="0" w:firstLineChars="0"/>
        <w:rPr>
          <w:rFonts w:hint="default"/>
          <w:lang w:val="en-US" w:eastAsia="zh-CN"/>
        </w:rPr>
      </w:pPr>
      <w:r>
        <w:rPr>
          <w:rFonts w:hint="eastAsia"/>
          <w:lang w:val="en-US" w:eastAsia="zh-CN"/>
        </w:rPr>
        <w:t>市场开拓专员   4-5人</w:t>
      </w:r>
    </w:p>
    <w:p>
      <w:pPr>
        <w:numPr>
          <w:numId w:val="0"/>
        </w:numPr>
        <w:bidi w:val="0"/>
        <w:ind w:leftChars="0" w:firstLine="420" w:firstLineChars="200"/>
        <w:rPr>
          <w:rFonts w:hint="eastAsia"/>
          <w:lang w:val="en-US" w:eastAsia="zh-CN"/>
        </w:rPr>
      </w:pPr>
      <w:r>
        <w:rPr>
          <w:rFonts w:hint="eastAsia"/>
          <w:lang w:val="en-US" w:eastAsia="zh-CN"/>
        </w:rPr>
        <w:t>岗位简述：为客户提供纺织鞋服检测相关技术咨询服务；收集纺织鞋服类品牌和生产企业的信息；开拓纺织、鞋服检测业务；完成公司下达的轻工、服装类检测营销任务要求。</w:t>
      </w:r>
    </w:p>
    <w:p>
      <w:pPr>
        <w:numPr>
          <w:numId w:val="0"/>
        </w:numPr>
        <w:bidi w:val="0"/>
        <w:ind w:leftChars="0"/>
        <w:rPr>
          <w:rFonts w:hint="eastAsia"/>
          <w:lang w:val="en-US" w:eastAsia="zh-CN"/>
        </w:rPr>
      </w:pPr>
    </w:p>
    <w:p>
      <w:pPr>
        <w:numPr>
          <w:numId w:val="0"/>
        </w:numPr>
        <w:bidi w:val="0"/>
        <w:ind w:leftChars="0"/>
        <w:rPr>
          <w:rFonts w:hint="default"/>
          <w:lang w:val="en-US" w:eastAsia="zh-CN"/>
        </w:rPr>
      </w:pPr>
      <w:r>
        <w:rPr>
          <w:rFonts w:hint="eastAsia"/>
          <w:lang w:val="en-US" w:eastAsia="zh-CN"/>
        </w:rPr>
        <w:t>任职要求：本科以上学历（数据控制岗要求硕士学历），纺织工程、轻化皮革、微生物、化学类、高分子材料等相关专业应届毕业生，微生物及化学专业需要提供成绩单。</w:t>
      </w:r>
    </w:p>
    <w:p>
      <w:pPr>
        <w:numPr>
          <w:numId w:val="0"/>
        </w:numPr>
        <w:bidi w:val="0"/>
        <w:ind w:leftChars="0"/>
        <w:rPr>
          <w:rFonts w:hint="default"/>
          <w:lang w:val="en-US" w:eastAsia="zh-CN"/>
        </w:rPr>
      </w:pPr>
    </w:p>
    <w:p>
      <w:pPr>
        <w:spacing w:after="156" w:afterLines="50" w:line="46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工作时间：8:30--17:15  单双休</w:t>
      </w:r>
    </w:p>
    <w:p>
      <w:pPr>
        <w:spacing w:after="156" w:afterLines="50" w:line="46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薪资福利：</w:t>
      </w:r>
      <w:r>
        <w:rPr>
          <w:rFonts w:ascii="微软雅黑" w:hAnsi="微软雅黑" w:eastAsia="微软雅黑" w:cs="微软雅黑"/>
          <w:sz w:val="22"/>
          <w:szCs w:val="22"/>
        </w:rPr>
        <w:t xml:space="preserve"> </w:t>
      </w:r>
      <w:r>
        <w:rPr>
          <w:rFonts w:hint="eastAsia" w:ascii="微软雅黑" w:hAnsi="微软雅黑" w:eastAsia="微软雅黑" w:cs="微软雅黑"/>
          <w:sz w:val="22"/>
          <w:szCs w:val="22"/>
        </w:rPr>
        <w:t>提供食宿、法定假日、带薪年假、</w:t>
      </w:r>
      <w:r>
        <w:rPr>
          <w:rFonts w:hint="eastAsia" w:ascii="微软雅黑" w:hAnsi="微软雅黑" w:eastAsia="微软雅黑" w:cs="微软雅黑"/>
          <w:sz w:val="22"/>
          <w:szCs w:val="22"/>
          <w:lang w:val="en-US" w:eastAsia="zh-CN"/>
        </w:rPr>
        <w:t>五</w:t>
      </w:r>
      <w:r>
        <w:rPr>
          <w:rFonts w:hint="eastAsia" w:ascii="微软雅黑" w:hAnsi="微软雅黑" w:eastAsia="微软雅黑" w:cs="微软雅黑"/>
          <w:sz w:val="22"/>
          <w:szCs w:val="22"/>
        </w:rPr>
        <w:t>险</w:t>
      </w:r>
      <w:r>
        <w:rPr>
          <w:rFonts w:hint="eastAsia" w:ascii="微软雅黑" w:hAnsi="微软雅黑" w:eastAsia="微软雅黑" w:cs="微软雅黑"/>
          <w:sz w:val="22"/>
          <w:szCs w:val="22"/>
          <w:lang w:val="en-US" w:eastAsia="zh-CN"/>
        </w:rPr>
        <w:t>一</w:t>
      </w:r>
      <w:r>
        <w:rPr>
          <w:rFonts w:hint="eastAsia" w:ascii="微软雅黑" w:hAnsi="微软雅黑" w:eastAsia="微软雅黑" w:cs="微软雅黑"/>
          <w:sz w:val="22"/>
          <w:szCs w:val="22"/>
        </w:rPr>
        <w:t>金（养老保险、失业保险、工伤保险、医疗保险、生育保险、意外伤害险、公积金）等。</w:t>
      </w:r>
    </w:p>
    <w:p>
      <w:pPr>
        <w:spacing w:after="156" w:afterLines="50" w:line="460" w:lineRule="exact"/>
        <w:ind w:firstLine="440" w:firstLineChars="200"/>
        <w:rPr>
          <w:rFonts w:hint="eastAsia" w:ascii="微软雅黑" w:hAnsi="微软雅黑" w:eastAsia="微软雅黑" w:cs="微软雅黑"/>
          <w:sz w:val="22"/>
          <w:szCs w:val="22"/>
        </w:rPr>
      </w:pPr>
    </w:p>
    <w:p>
      <w:pPr>
        <w:spacing w:after="156" w:afterLines="50" w:line="460" w:lineRule="exact"/>
        <w:ind w:firstLine="440" w:firstLineChars="200"/>
        <w:rPr>
          <w:rFonts w:hint="eastAsia" w:ascii="微软雅黑" w:hAnsi="微软雅黑" w:eastAsia="微软雅黑" w:cs="微软雅黑"/>
          <w:sz w:val="22"/>
          <w:szCs w:val="22"/>
        </w:rPr>
      </w:pP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北京公司</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北京市朝阳区延静里中街3号</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联系电话：01065002813</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浙江公司</w:t>
      </w:r>
    </w:p>
    <w:p>
      <w:pPr>
        <w:spacing w:after="156" w:afterLines="50" w:line="460" w:lineRule="exact"/>
        <w:ind w:firstLine="440" w:firstLineChars="200"/>
        <w:jc w:val="left"/>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rPr>
        <w:t>浙江省绍兴市袍江新区双堰路30号</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 xml:space="preserve">联 系 人： </w:t>
      </w:r>
      <w:r>
        <w:rPr>
          <w:rFonts w:hint="eastAsia" w:ascii="微软雅黑" w:hAnsi="微软雅黑" w:eastAsia="微软雅黑" w:cs="微软雅黑"/>
          <w:sz w:val="22"/>
          <w:szCs w:val="22"/>
          <w:lang w:val="en-US" w:eastAsia="zh-CN"/>
        </w:rPr>
        <w:t>15278880234  王女士</w:t>
      </w:r>
    </w:p>
    <w:p>
      <w:pPr>
        <w:spacing w:after="156" w:afterLines="50" w:line="460" w:lineRule="exact"/>
        <w:ind w:firstLine="440" w:firstLineChars="200"/>
        <w:jc w:val="left"/>
        <w:rPr>
          <w:rFonts w:hint="default" w:ascii="微软雅黑" w:hAnsi="微软雅黑" w:eastAsia="微软雅黑" w:cs="微软雅黑"/>
          <w:sz w:val="22"/>
          <w:szCs w:val="22"/>
          <w:lang w:val="en-US" w:eastAsia="zh-CN"/>
        </w:rPr>
        <w:sectPr>
          <w:type w:val="continuous"/>
          <w:pgSz w:w="11906" w:h="16838"/>
          <w:pgMar w:top="1440" w:right="1485" w:bottom="1440" w:left="1380" w:header="851" w:footer="992" w:gutter="0"/>
          <w:cols w:space="425" w:num="1"/>
          <w:docGrid w:type="lines" w:linePitch="312" w:charSpace="0"/>
        </w:sectPr>
      </w:pPr>
      <w:r>
        <w:rPr>
          <w:rFonts w:hint="eastAsia" w:ascii="微软雅黑" w:hAnsi="微软雅黑" w:eastAsia="微软雅黑" w:cs="微软雅黑"/>
          <w:sz w:val="22"/>
          <w:szCs w:val="22"/>
          <w:lang w:val="en-US" w:eastAsia="zh-CN"/>
        </w:rPr>
        <w:t>深圳公司</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深圳市盐田区沙头角沙深路东和工业大厦B栋6-8楼</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联系电话：0755-89635313</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福建公司</w:t>
      </w:r>
    </w:p>
    <w:p>
      <w:pPr>
        <w:spacing w:after="156" w:afterLines="50" w:line="460" w:lineRule="exact"/>
        <w:ind w:firstLine="440" w:firstLineChars="20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福建省晋江市高教东路1号泉州轻工学院行政楼5楼</w:t>
      </w:r>
    </w:p>
    <w:p>
      <w:pPr>
        <w:spacing w:after="156" w:afterLines="50" w:line="460" w:lineRule="exact"/>
        <w:ind w:firstLine="440" w:firstLineChars="200"/>
        <w:jc w:val="left"/>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联系电话：0595-85972950</w:t>
      </w:r>
    </w:p>
    <w:sectPr>
      <w:type w:val="continuous"/>
      <w:pgSz w:w="11906" w:h="16838"/>
      <w:pgMar w:top="1440" w:right="1485"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Yu Gothic UI Semibold">
    <w:panose1 w:val="020B0700000000000000"/>
    <w:charset w:val="80"/>
    <w:family w:val="swiss"/>
    <w:pitch w:val="default"/>
    <w:sig w:usb0="E00002FF" w:usb1="2AC7FDFF" w:usb2="00000016" w:usb3="00000000" w:csb0="200200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11B391"/>
    <w:multiLevelType w:val="singleLevel"/>
    <w:tmpl w:val="1B11B391"/>
    <w:lvl w:ilvl="0" w:tentative="0">
      <w:start w:val="1"/>
      <w:numFmt w:val="chineseCounting"/>
      <w:suff w:val="nothing"/>
      <w:lvlText w:val="%1、"/>
      <w:lvlJc w:val="left"/>
      <w:rPr>
        <w:rFonts w:hint="eastAsia"/>
      </w:rPr>
    </w:lvl>
  </w:abstractNum>
  <w:abstractNum w:abstractNumId="1">
    <w:nsid w:val="5A6AC69B"/>
    <w:multiLevelType w:val="singleLevel"/>
    <w:tmpl w:val="5A6AC69B"/>
    <w:lvl w:ilvl="0" w:tentative="0">
      <w:start w:val="1"/>
      <w:numFmt w:val="bullet"/>
      <w:lvlText w:val=""/>
      <w:lvlJc w:val="left"/>
      <w:pPr>
        <w:ind w:left="420" w:hanging="420"/>
      </w:pPr>
      <w:rPr>
        <w:rFonts w:hint="default" w:ascii="Wingdings" w:hAnsi="Wingdings"/>
      </w:rPr>
    </w:lvl>
  </w:abstractNum>
  <w:abstractNum w:abstractNumId="2">
    <w:nsid w:val="6F5022C8"/>
    <w:multiLevelType w:val="multilevel"/>
    <w:tmpl w:val="6F5022C8"/>
    <w:lvl w:ilvl="0" w:tentative="0">
      <w:start w:val="1"/>
      <w:numFmt w:val="bullet"/>
      <w:lvlText w:val=""/>
      <w:lvlJc w:val="left"/>
      <w:pPr>
        <w:tabs>
          <w:tab w:val="left" w:pos="1760"/>
        </w:tabs>
        <w:ind w:left="1760" w:hanging="420"/>
      </w:pPr>
      <w:rPr>
        <w:rFonts w:hint="default" w:ascii="Symbol" w:hAnsi="Symbol"/>
        <w:color w:val="auto"/>
      </w:rPr>
    </w:lvl>
    <w:lvl w:ilvl="1" w:tentative="0">
      <w:start w:val="1"/>
      <w:numFmt w:val="bullet"/>
      <w:lvlText w:val=""/>
      <w:lvlJc w:val="left"/>
      <w:pPr>
        <w:tabs>
          <w:tab w:val="left" w:pos="1280"/>
        </w:tabs>
        <w:ind w:left="1280" w:hanging="420"/>
      </w:pPr>
      <w:rPr>
        <w:rFonts w:hint="default" w:ascii="Wingdings" w:hAnsi="Wingdings"/>
      </w:rPr>
    </w:lvl>
    <w:lvl w:ilvl="2" w:tentative="0">
      <w:start w:val="1"/>
      <w:numFmt w:val="bullet"/>
      <w:lvlText w:val=""/>
      <w:lvlJc w:val="left"/>
      <w:pPr>
        <w:tabs>
          <w:tab w:val="left" w:pos="1700"/>
        </w:tabs>
        <w:ind w:left="1700" w:hanging="420"/>
      </w:pPr>
      <w:rPr>
        <w:rFonts w:hint="default" w:ascii="Wingdings" w:hAnsi="Wingdings"/>
      </w:rPr>
    </w:lvl>
    <w:lvl w:ilvl="3" w:tentative="0">
      <w:start w:val="1"/>
      <w:numFmt w:val="bullet"/>
      <w:lvlText w:val=""/>
      <w:lvlJc w:val="left"/>
      <w:pPr>
        <w:tabs>
          <w:tab w:val="left" w:pos="2120"/>
        </w:tabs>
        <w:ind w:left="2120" w:hanging="420"/>
      </w:pPr>
      <w:rPr>
        <w:rFonts w:hint="default" w:ascii="Wingdings" w:hAnsi="Wingdings"/>
      </w:rPr>
    </w:lvl>
    <w:lvl w:ilvl="4" w:tentative="0">
      <w:start w:val="1"/>
      <w:numFmt w:val="bullet"/>
      <w:lvlText w:val=""/>
      <w:lvlJc w:val="left"/>
      <w:pPr>
        <w:tabs>
          <w:tab w:val="left" w:pos="2540"/>
        </w:tabs>
        <w:ind w:left="2540" w:hanging="420"/>
      </w:pPr>
      <w:rPr>
        <w:rFonts w:hint="default" w:ascii="Wingdings" w:hAnsi="Wingdings"/>
      </w:rPr>
    </w:lvl>
    <w:lvl w:ilvl="5" w:tentative="0">
      <w:start w:val="1"/>
      <w:numFmt w:val="bullet"/>
      <w:lvlText w:val=""/>
      <w:lvlJc w:val="left"/>
      <w:pPr>
        <w:tabs>
          <w:tab w:val="left" w:pos="2960"/>
        </w:tabs>
        <w:ind w:left="2960" w:hanging="420"/>
      </w:pPr>
      <w:rPr>
        <w:rFonts w:hint="default" w:ascii="Wingdings" w:hAnsi="Wingdings"/>
      </w:rPr>
    </w:lvl>
    <w:lvl w:ilvl="6" w:tentative="0">
      <w:start w:val="1"/>
      <w:numFmt w:val="bullet"/>
      <w:lvlText w:val=""/>
      <w:lvlJc w:val="left"/>
      <w:pPr>
        <w:tabs>
          <w:tab w:val="left" w:pos="3380"/>
        </w:tabs>
        <w:ind w:left="3380" w:hanging="420"/>
      </w:pPr>
      <w:rPr>
        <w:rFonts w:hint="default" w:ascii="Wingdings" w:hAnsi="Wingdings"/>
      </w:rPr>
    </w:lvl>
    <w:lvl w:ilvl="7" w:tentative="0">
      <w:start w:val="1"/>
      <w:numFmt w:val="bullet"/>
      <w:lvlText w:val=""/>
      <w:lvlJc w:val="left"/>
      <w:pPr>
        <w:tabs>
          <w:tab w:val="left" w:pos="3800"/>
        </w:tabs>
        <w:ind w:left="3800" w:hanging="420"/>
      </w:pPr>
      <w:rPr>
        <w:rFonts w:hint="default" w:ascii="Wingdings" w:hAnsi="Wingdings"/>
      </w:rPr>
    </w:lvl>
    <w:lvl w:ilvl="8" w:tentative="0">
      <w:start w:val="1"/>
      <w:numFmt w:val="bullet"/>
      <w:lvlText w:val=""/>
      <w:lvlJc w:val="left"/>
      <w:pPr>
        <w:tabs>
          <w:tab w:val="left" w:pos="4220"/>
        </w:tabs>
        <w:ind w:left="42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162360"/>
    <w:rsid w:val="000E4458"/>
    <w:rsid w:val="00472DFB"/>
    <w:rsid w:val="00482DB3"/>
    <w:rsid w:val="005C5530"/>
    <w:rsid w:val="00763258"/>
    <w:rsid w:val="007B0107"/>
    <w:rsid w:val="00931C4C"/>
    <w:rsid w:val="009931AF"/>
    <w:rsid w:val="00997440"/>
    <w:rsid w:val="00A32B60"/>
    <w:rsid w:val="00A649DE"/>
    <w:rsid w:val="00B85061"/>
    <w:rsid w:val="00D3353E"/>
    <w:rsid w:val="00D42AE9"/>
    <w:rsid w:val="00D714ED"/>
    <w:rsid w:val="00E63727"/>
    <w:rsid w:val="00EF6E92"/>
    <w:rsid w:val="00F90744"/>
    <w:rsid w:val="00FB6EDD"/>
    <w:rsid w:val="036C261D"/>
    <w:rsid w:val="04E1362D"/>
    <w:rsid w:val="052F7B05"/>
    <w:rsid w:val="06B0106A"/>
    <w:rsid w:val="077E66FC"/>
    <w:rsid w:val="0B6E69D7"/>
    <w:rsid w:val="0C702CA0"/>
    <w:rsid w:val="0CDE06A0"/>
    <w:rsid w:val="0DBF397F"/>
    <w:rsid w:val="0EB03861"/>
    <w:rsid w:val="10043C2C"/>
    <w:rsid w:val="119915B4"/>
    <w:rsid w:val="13AB27B8"/>
    <w:rsid w:val="15EB638D"/>
    <w:rsid w:val="1A6D7949"/>
    <w:rsid w:val="1AA95261"/>
    <w:rsid w:val="1BCD66C1"/>
    <w:rsid w:val="1D2777FC"/>
    <w:rsid w:val="1E9750FA"/>
    <w:rsid w:val="1F2A220A"/>
    <w:rsid w:val="20812DCB"/>
    <w:rsid w:val="20A15F23"/>
    <w:rsid w:val="28964CA4"/>
    <w:rsid w:val="2B0C48E1"/>
    <w:rsid w:val="2C626388"/>
    <w:rsid w:val="32817396"/>
    <w:rsid w:val="33A1072F"/>
    <w:rsid w:val="33A471AF"/>
    <w:rsid w:val="367712BD"/>
    <w:rsid w:val="377E09A2"/>
    <w:rsid w:val="39A72400"/>
    <w:rsid w:val="3D093F73"/>
    <w:rsid w:val="3D950F81"/>
    <w:rsid w:val="418A79D5"/>
    <w:rsid w:val="4AAF3F5D"/>
    <w:rsid w:val="4C3A2B2C"/>
    <w:rsid w:val="4E8A583F"/>
    <w:rsid w:val="50B65B08"/>
    <w:rsid w:val="56D16A72"/>
    <w:rsid w:val="5B0C3541"/>
    <w:rsid w:val="5D896699"/>
    <w:rsid w:val="60162360"/>
    <w:rsid w:val="61FE2C73"/>
    <w:rsid w:val="63CF0C58"/>
    <w:rsid w:val="65D755B5"/>
    <w:rsid w:val="68AE39F3"/>
    <w:rsid w:val="6DAC1004"/>
    <w:rsid w:val="6DFB7CF3"/>
    <w:rsid w:val="7790534A"/>
    <w:rsid w:val="7A45504D"/>
    <w:rsid w:val="7EF554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locked/>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locked/>
    <w:uiPriority w:val="0"/>
    <w:pPr>
      <w:keepNext/>
      <w:keepLines/>
      <w:spacing w:before="280" w:beforeLines="0" w:beforeAutospacing="0" w:after="290" w:afterLines="0" w:afterAutospacing="0" w:line="372" w:lineRule="auto"/>
      <w:outlineLvl w:val="4"/>
    </w:pPr>
    <w:rPr>
      <w:b/>
      <w:sz w:val="2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spacing w:beforeAutospacing="1" w:afterAutospacing="1"/>
      <w:jc w:val="left"/>
    </w:pPr>
    <w:rPr>
      <w:kern w:val="0"/>
      <w:sz w:val="24"/>
    </w:rPr>
  </w:style>
  <w:style w:type="character" w:styleId="13">
    <w:name w:val="Hyperlink"/>
    <w:basedOn w:val="12"/>
    <w:semiHidden/>
    <w:unhideWhenUsed/>
    <w:qFormat/>
    <w:uiPriority w:val="99"/>
    <w:rPr>
      <w:color w:val="0000FF"/>
      <w:u w:val="single"/>
    </w:rPr>
  </w:style>
  <w:style w:type="character" w:customStyle="1" w:styleId="14">
    <w:name w:val="页眉 Char"/>
    <w:basedOn w:val="12"/>
    <w:link w:val="9"/>
    <w:qFormat/>
    <w:uiPriority w:val="99"/>
    <w:rPr>
      <w:rFonts w:ascii="Calibri" w:hAnsi="Calibri"/>
      <w:kern w:val="2"/>
      <w:sz w:val="18"/>
      <w:szCs w:val="18"/>
    </w:rPr>
  </w:style>
  <w:style w:type="character" w:customStyle="1" w:styleId="15">
    <w:name w:val="页脚 Char"/>
    <w:basedOn w:val="12"/>
    <w:link w:val="8"/>
    <w:qFormat/>
    <w:uiPriority w:val="99"/>
    <w:rPr>
      <w:rFonts w:ascii="Calibri" w:hAnsi="Calibri"/>
      <w:kern w:val="2"/>
      <w:sz w:val="18"/>
      <w:szCs w:val="18"/>
    </w:rPr>
  </w:style>
  <w:style w:type="character" w:customStyle="1" w:styleId="16">
    <w:name w:val="批注框文本 Char"/>
    <w:basedOn w:val="12"/>
    <w:link w:val="7"/>
    <w:semiHidden/>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Pages>
  <Words>210</Words>
  <Characters>1201</Characters>
  <Lines>10</Lines>
  <Paragraphs>2</Paragraphs>
  <TotalTime>1</TotalTime>
  <ScaleCrop>false</ScaleCrop>
  <LinksUpToDate>false</LinksUpToDate>
  <CharactersWithSpaces>1409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2017-01-24T06:47:00Z</dcterms:created>
  <dc:creator>Z</dc:creator>
  <cp:lastModifiedBy>數艺sue`</cp:lastModifiedBy>
  <dcterms:modified xsi:type="dcterms:W3CDTF">2021-10-09T05:03:46Z</dcterms:modified>
  <dc:title>浙江中纺标检验有限公司简介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D5F7BD8B66E24A33946749EBCB1736CB</vt:lpwstr>
  </property>
</Properties>
</file>